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002F" w14:textId="7B03AF06" w:rsidR="00CB3950" w:rsidRDefault="00CB3950" w:rsidP="00CB3950">
      <w:pPr>
        <w:spacing w:line="276" w:lineRule="auto"/>
        <w:jc w:val="center"/>
        <w:rPr>
          <w:rFonts w:ascii="Arial" w:hAnsi="Arial" w:cs="Arial"/>
          <w:b/>
          <w:bCs/>
        </w:rPr>
      </w:pPr>
      <w:r w:rsidRPr="00CB3950">
        <w:rPr>
          <w:rFonts w:ascii="Arial" w:hAnsi="Arial" w:cs="Arial"/>
          <w:b/>
          <w:bCs/>
        </w:rPr>
        <w:t>Oral Cell Collection Card Integrated Independent Kit (Indicator Type)</w:t>
      </w:r>
    </w:p>
    <w:p w14:paraId="31843EC4" w14:textId="77777777" w:rsidR="00CB3950" w:rsidRPr="00CB3950" w:rsidRDefault="00CB3950" w:rsidP="00CB3950">
      <w:pPr>
        <w:spacing w:line="276" w:lineRule="auto"/>
        <w:jc w:val="center"/>
        <w:rPr>
          <w:rFonts w:ascii="Arial" w:hAnsi="Arial" w:cs="Arial" w:hint="eastAsia"/>
          <w:b/>
          <w:bCs/>
        </w:rPr>
      </w:pPr>
    </w:p>
    <w:p w14:paraId="455E5C71" w14:textId="575E60CE" w:rsidR="00CB3950" w:rsidRDefault="00CB3950" w:rsidP="00CB3950">
      <w:pPr>
        <w:spacing w:line="276" w:lineRule="auto"/>
        <w:jc w:val="left"/>
        <w:rPr>
          <w:rFonts w:ascii="Arial" w:hAnsi="Arial" w:cs="Arial"/>
        </w:rPr>
      </w:pPr>
      <w:r w:rsidRPr="00CB3950">
        <w:rPr>
          <w:rFonts w:ascii="Arial" w:hAnsi="Arial" w:cs="Arial"/>
        </w:rPr>
        <w:t>Each new oral cell collection kit is individually packaged, containing one collection card, one sampling sac, and one storage bag. Oral cell collection utilizes plant fiber as a carrier for DNA storage, a novel medium designed for the collection, transportation, and storage of various biological fluids, including saliva, and cell culture media at room temperature. Through a unique formula and manufacturing process, when a sample containing biological fluid comes into contact with the oral cell collection card, the card changes color from pink to white, indicating the presence of the biological sample, facilitating subsequent perforation and PCR amplification.</w:t>
      </w:r>
    </w:p>
    <w:p w14:paraId="5E88688D" w14:textId="77777777" w:rsidR="00CB3950" w:rsidRPr="00CB3950" w:rsidRDefault="00CB3950" w:rsidP="00CB3950">
      <w:pPr>
        <w:spacing w:line="276" w:lineRule="auto"/>
        <w:jc w:val="left"/>
        <w:rPr>
          <w:rFonts w:ascii="Arial" w:hAnsi="Arial" w:cs="Arial" w:hint="eastAsia"/>
        </w:rPr>
      </w:pPr>
    </w:p>
    <w:p w14:paraId="27BE08F7" w14:textId="321FD1E6" w:rsidR="00CB3950" w:rsidRPr="00CB3950" w:rsidRDefault="00CB3950" w:rsidP="00CB3950">
      <w:pPr>
        <w:spacing w:line="276" w:lineRule="auto"/>
        <w:jc w:val="left"/>
        <w:rPr>
          <w:rFonts w:ascii="Arial" w:hAnsi="Arial" w:cs="Arial" w:hint="eastAsia"/>
          <w:b/>
          <w:bCs/>
        </w:rPr>
      </w:pPr>
      <w:r w:rsidRPr="00CB3950">
        <w:rPr>
          <w:rFonts w:ascii="Arial" w:hAnsi="Arial" w:cs="Arial"/>
          <w:b/>
          <w:bCs/>
        </w:rPr>
        <w:t>Product Advantages:</w:t>
      </w:r>
    </w:p>
    <w:p w14:paraId="57EE68F5" w14:textId="09C434E2" w:rsidR="00CB3950" w:rsidRPr="00CB3950" w:rsidRDefault="00CB3950" w:rsidP="00CB3950">
      <w:pPr>
        <w:spacing w:line="276" w:lineRule="auto"/>
        <w:jc w:val="left"/>
        <w:rPr>
          <w:rFonts w:ascii="Arial" w:hAnsi="Arial" w:cs="Arial" w:hint="eastAsia"/>
        </w:rPr>
      </w:pPr>
      <w:r w:rsidRPr="00CB3950">
        <w:rPr>
          <w:rFonts w:ascii="Arial" w:hAnsi="Arial" w:cs="Arial"/>
        </w:rPr>
        <w:t>Sensitive and long-lasting color indication. The color rapidly changes from pink to white upon contact with biological fluids, including saliva, ensuring rapid identification of oral cells during subsequent sample collection;</w:t>
      </w:r>
    </w:p>
    <w:p w14:paraId="7C18ED0D" w14:textId="472D6ACA" w:rsidR="00CB3950" w:rsidRPr="00CB3950" w:rsidRDefault="00CB3950" w:rsidP="00CB3950">
      <w:pPr>
        <w:spacing w:line="276" w:lineRule="auto"/>
        <w:jc w:val="left"/>
        <w:rPr>
          <w:rFonts w:ascii="Arial" w:hAnsi="Arial" w:cs="Arial" w:hint="eastAsia"/>
        </w:rPr>
      </w:pPr>
      <w:r w:rsidRPr="00CB3950">
        <w:rPr>
          <w:rFonts w:ascii="Arial" w:hAnsi="Arial" w:cs="Arial"/>
        </w:rPr>
        <w:t>A safer and faster DNA collection method, ensuring the material does not contain DNase or amplifiable human DNA;</w:t>
      </w:r>
    </w:p>
    <w:p w14:paraId="517CD030" w14:textId="34669310" w:rsidR="00CB3950" w:rsidRPr="00CB3950" w:rsidRDefault="00CB3950" w:rsidP="00CB3950">
      <w:pPr>
        <w:spacing w:line="276" w:lineRule="auto"/>
        <w:jc w:val="left"/>
        <w:rPr>
          <w:rFonts w:ascii="Arial" w:hAnsi="Arial" w:cs="Arial" w:hint="eastAsia"/>
        </w:rPr>
      </w:pPr>
      <w:r w:rsidRPr="00CB3950">
        <w:rPr>
          <w:rFonts w:ascii="Arial" w:hAnsi="Arial" w:cs="Arial"/>
        </w:rPr>
        <w:t>Avoids injury to the sampler during blood sample collection, reducing resistance from the sampled individual;</w:t>
      </w:r>
    </w:p>
    <w:p w14:paraId="3C4BA6E4" w14:textId="77777777" w:rsidR="00CB3950" w:rsidRPr="00CB3950" w:rsidRDefault="00CB3950" w:rsidP="00CB3950">
      <w:pPr>
        <w:spacing w:line="276" w:lineRule="auto"/>
        <w:jc w:val="left"/>
        <w:rPr>
          <w:rFonts w:ascii="Arial" w:hAnsi="Arial" w:cs="Arial"/>
        </w:rPr>
      </w:pPr>
      <w:r w:rsidRPr="00CB3950">
        <w:rPr>
          <w:rFonts w:ascii="Arial" w:hAnsi="Arial" w:cs="Arial"/>
        </w:rPr>
        <w:t>Safer for sampling personnel, avoiding contamination from potential viruses in the blood.</w:t>
      </w:r>
    </w:p>
    <w:p w14:paraId="3D4E506B" w14:textId="77777777" w:rsidR="00CB3950" w:rsidRPr="00CB3950" w:rsidRDefault="00CB3950" w:rsidP="00CB3950">
      <w:pPr>
        <w:spacing w:line="276" w:lineRule="auto"/>
        <w:jc w:val="left"/>
        <w:rPr>
          <w:rFonts w:ascii="Arial" w:hAnsi="Arial" w:cs="Arial"/>
        </w:rPr>
      </w:pPr>
    </w:p>
    <w:p w14:paraId="63B04B6A" w14:textId="5E2491D2" w:rsidR="00CB3950" w:rsidRPr="00CB3950" w:rsidRDefault="00CB3950" w:rsidP="00CB3950">
      <w:pPr>
        <w:spacing w:line="276" w:lineRule="auto"/>
        <w:jc w:val="left"/>
        <w:rPr>
          <w:rFonts w:ascii="Arial" w:hAnsi="Arial" w:cs="Arial" w:hint="eastAsia"/>
          <w:b/>
          <w:bCs/>
        </w:rPr>
      </w:pPr>
      <w:r w:rsidRPr="00CB3950">
        <w:rPr>
          <w:rFonts w:ascii="Arial" w:hAnsi="Arial" w:cs="Arial"/>
          <w:b/>
          <w:bCs/>
        </w:rPr>
        <w:t>Instructions for Use:</w:t>
      </w:r>
    </w:p>
    <w:p w14:paraId="1C8F67B3" w14:textId="3BFB0A4B" w:rsidR="00CB3950" w:rsidRPr="00CB3950" w:rsidRDefault="00CB3950" w:rsidP="00CB3950">
      <w:pPr>
        <w:spacing w:line="276" w:lineRule="auto"/>
        <w:jc w:val="left"/>
        <w:rPr>
          <w:rFonts w:ascii="Arial" w:hAnsi="Arial" w:cs="Arial" w:hint="eastAsia"/>
        </w:rPr>
      </w:pPr>
      <w:r w:rsidRPr="00CB3950">
        <w:rPr>
          <w:rFonts w:ascii="Arial" w:hAnsi="Arial" w:cs="Arial"/>
        </w:rPr>
        <w:t>Sampling personnel should fill in the subject's detailed information on the front and back of the collection card as required. Do not open the collection card while writing to prevent sample contamination.</w:t>
      </w:r>
    </w:p>
    <w:p w14:paraId="7E278F52" w14:textId="28C6B364" w:rsidR="00CB3950" w:rsidRPr="00CB3950" w:rsidRDefault="00CB3950" w:rsidP="00CB3950">
      <w:pPr>
        <w:spacing w:line="276" w:lineRule="auto"/>
        <w:jc w:val="left"/>
        <w:rPr>
          <w:rFonts w:ascii="Arial" w:hAnsi="Arial" w:cs="Arial" w:hint="eastAsia"/>
        </w:rPr>
      </w:pPr>
      <w:r w:rsidRPr="00CB3950">
        <w:rPr>
          <w:rFonts w:ascii="Arial" w:hAnsi="Arial" w:cs="Arial"/>
        </w:rPr>
        <w:t>The subject should rinse their mouth with water, remove the oral swab, and insert the sponge end into the mouth, wiping the inside of the cheek repeatedly 5-10 times. Repeat on the other cheek 5-10 times. Ensure the oral swab is fully moistened and use different sides of the swab.</w:t>
      </w:r>
    </w:p>
    <w:p w14:paraId="265673F9" w14:textId="69DCDC7E" w:rsidR="00CB3950" w:rsidRPr="00CB3950" w:rsidRDefault="00CB3950" w:rsidP="00CB3950">
      <w:pPr>
        <w:spacing w:line="276" w:lineRule="auto"/>
        <w:jc w:val="left"/>
        <w:rPr>
          <w:rFonts w:ascii="Arial" w:hAnsi="Arial" w:cs="Arial" w:hint="eastAsia"/>
        </w:rPr>
      </w:pPr>
      <w:r w:rsidRPr="00CB3950">
        <w:rPr>
          <w:rFonts w:ascii="Arial" w:hAnsi="Arial" w:cs="Arial"/>
        </w:rPr>
        <w:t>Place the oral swab on the pink ring of the oral cell collection card, hold the swab handle and squeeze firmly for 10 seconds, then rotate it firmly 3 times in the same spot. You will see the collection area change from pink to white.</w:t>
      </w:r>
    </w:p>
    <w:p w14:paraId="5DABCF34" w14:textId="77777777" w:rsidR="00CB3950" w:rsidRPr="00CB3950" w:rsidRDefault="00CB3950" w:rsidP="00CB3950">
      <w:pPr>
        <w:spacing w:line="276" w:lineRule="auto"/>
        <w:jc w:val="left"/>
        <w:rPr>
          <w:rFonts w:ascii="Arial" w:hAnsi="Arial" w:cs="Arial"/>
        </w:rPr>
      </w:pPr>
      <w:r w:rsidRPr="00CB3950">
        <w:rPr>
          <w:rFonts w:ascii="Arial" w:hAnsi="Arial" w:cs="Arial"/>
        </w:rPr>
        <w:t>After sampling, allow it to air dry for 5-10 minutes, then place it in a file folder and store in a cool, ventilated, and dry place.</w:t>
      </w:r>
    </w:p>
    <w:p w14:paraId="2338DD20" w14:textId="77777777" w:rsidR="00CB3950" w:rsidRPr="00CB3950" w:rsidRDefault="00CB3950" w:rsidP="00CB3950">
      <w:pPr>
        <w:spacing w:line="276" w:lineRule="auto"/>
        <w:jc w:val="left"/>
        <w:rPr>
          <w:rFonts w:ascii="Arial" w:hAnsi="Arial" w:cs="Arial"/>
        </w:rPr>
      </w:pPr>
    </w:p>
    <w:p w14:paraId="3675ABED" w14:textId="5787E94B" w:rsidR="001F5B3A" w:rsidRPr="00CB3950" w:rsidRDefault="00CB3950" w:rsidP="00CB3950">
      <w:pPr>
        <w:spacing w:line="276" w:lineRule="auto"/>
        <w:jc w:val="left"/>
        <w:rPr>
          <w:rFonts w:ascii="Arial" w:hAnsi="Arial" w:cs="Arial"/>
        </w:rPr>
      </w:pPr>
      <w:r w:rsidRPr="00CB3950">
        <w:rPr>
          <w:rFonts w:ascii="Arial" w:hAnsi="Arial" w:cs="Arial"/>
          <w:b/>
          <w:bCs/>
        </w:rPr>
        <w:t>Specifications:</w:t>
      </w:r>
      <w:r w:rsidRPr="00CB3950">
        <w:rPr>
          <w:rFonts w:ascii="Arial" w:hAnsi="Arial" w:cs="Arial"/>
        </w:rPr>
        <w:t xml:space="preserve"> 50 sets/box (includes collection card, sampling swab, and storage bag).</w:t>
      </w:r>
    </w:p>
    <w:sectPr w:rsidR="001F5B3A" w:rsidRPr="00CB39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979D" w14:textId="77777777" w:rsidR="00D12451" w:rsidRDefault="00D12451" w:rsidP="001A25C9">
      <w:r>
        <w:separator/>
      </w:r>
    </w:p>
  </w:endnote>
  <w:endnote w:type="continuationSeparator" w:id="0">
    <w:p w14:paraId="7B21F568" w14:textId="77777777" w:rsidR="00D12451" w:rsidRDefault="00D12451" w:rsidP="001A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AF3C" w14:textId="77777777" w:rsidR="00D12451" w:rsidRDefault="00D12451" w:rsidP="001A25C9">
      <w:r>
        <w:separator/>
      </w:r>
    </w:p>
  </w:footnote>
  <w:footnote w:type="continuationSeparator" w:id="0">
    <w:p w14:paraId="5E9E14FD" w14:textId="77777777" w:rsidR="00D12451" w:rsidRDefault="00D12451" w:rsidP="001A2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9A"/>
    <w:rsid w:val="001A25C9"/>
    <w:rsid w:val="001F5B3A"/>
    <w:rsid w:val="00505D9A"/>
    <w:rsid w:val="007459CA"/>
    <w:rsid w:val="007D3A30"/>
    <w:rsid w:val="00930853"/>
    <w:rsid w:val="00A772EA"/>
    <w:rsid w:val="00CB3950"/>
    <w:rsid w:val="00D1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35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5D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05D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05D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05D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05D9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05D9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05D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D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05D9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D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05D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05D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05D9A"/>
    <w:rPr>
      <w:rFonts w:cstheme="majorBidi"/>
      <w:color w:val="0F4761" w:themeColor="accent1" w:themeShade="BF"/>
      <w:sz w:val="28"/>
      <w:szCs w:val="28"/>
    </w:rPr>
  </w:style>
  <w:style w:type="character" w:customStyle="1" w:styleId="50">
    <w:name w:val="标题 5 字符"/>
    <w:basedOn w:val="a0"/>
    <w:link w:val="5"/>
    <w:uiPriority w:val="9"/>
    <w:semiHidden/>
    <w:rsid w:val="00505D9A"/>
    <w:rPr>
      <w:rFonts w:cstheme="majorBidi"/>
      <w:color w:val="0F4761" w:themeColor="accent1" w:themeShade="BF"/>
      <w:sz w:val="24"/>
      <w:szCs w:val="24"/>
    </w:rPr>
  </w:style>
  <w:style w:type="character" w:customStyle="1" w:styleId="60">
    <w:name w:val="标题 6 字符"/>
    <w:basedOn w:val="a0"/>
    <w:link w:val="6"/>
    <w:uiPriority w:val="9"/>
    <w:semiHidden/>
    <w:rsid w:val="00505D9A"/>
    <w:rPr>
      <w:rFonts w:cstheme="majorBidi"/>
      <w:b/>
      <w:bCs/>
      <w:color w:val="0F4761" w:themeColor="accent1" w:themeShade="BF"/>
    </w:rPr>
  </w:style>
  <w:style w:type="character" w:customStyle="1" w:styleId="70">
    <w:name w:val="标题 7 字符"/>
    <w:basedOn w:val="a0"/>
    <w:link w:val="7"/>
    <w:uiPriority w:val="9"/>
    <w:semiHidden/>
    <w:rsid w:val="00505D9A"/>
    <w:rPr>
      <w:rFonts w:cstheme="majorBidi"/>
      <w:b/>
      <w:bCs/>
      <w:color w:val="595959" w:themeColor="text1" w:themeTint="A6"/>
    </w:rPr>
  </w:style>
  <w:style w:type="character" w:customStyle="1" w:styleId="80">
    <w:name w:val="标题 8 字符"/>
    <w:basedOn w:val="a0"/>
    <w:link w:val="8"/>
    <w:uiPriority w:val="9"/>
    <w:semiHidden/>
    <w:rsid w:val="00505D9A"/>
    <w:rPr>
      <w:rFonts w:cstheme="majorBidi"/>
      <w:color w:val="595959" w:themeColor="text1" w:themeTint="A6"/>
    </w:rPr>
  </w:style>
  <w:style w:type="character" w:customStyle="1" w:styleId="90">
    <w:name w:val="标题 9 字符"/>
    <w:basedOn w:val="a0"/>
    <w:link w:val="9"/>
    <w:uiPriority w:val="9"/>
    <w:semiHidden/>
    <w:rsid w:val="00505D9A"/>
    <w:rPr>
      <w:rFonts w:eastAsiaTheme="majorEastAsia" w:cstheme="majorBidi"/>
      <w:color w:val="595959" w:themeColor="text1" w:themeTint="A6"/>
    </w:rPr>
  </w:style>
  <w:style w:type="paragraph" w:styleId="a3">
    <w:name w:val="Title"/>
    <w:basedOn w:val="a"/>
    <w:next w:val="a"/>
    <w:link w:val="a4"/>
    <w:uiPriority w:val="10"/>
    <w:qFormat/>
    <w:rsid w:val="00505D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D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D9A"/>
    <w:pPr>
      <w:spacing w:before="160" w:after="160"/>
      <w:jc w:val="center"/>
    </w:pPr>
    <w:rPr>
      <w:i/>
      <w:iCs/>
      <w:color w:val="404040" w:themeColor="text1" w:themeTint="BF"/>
    </w:rPr>
  </w:style>
  <w:style w:type="character" w:customStyle="1" w:styleId="a8">
    <w:name w:val="引用 字符"/>
    <w:basedOn w:val="a0"/>
    <w:link w:val="a7"/>
    <w:uiPriority w:val="29"/>
    <w:rsid w:val="00505D9A"/>
    <w:rPr>
      <w:i/>
      <w:iCs/>
      <w:color w:val="404040" w:themeColor="text1" w:themeTint="BF"/>
    </w:rPr>
  </w:style>
  <w:style w:type="paragraph" w:styleId="a9">
    <w:name w:val="List Paragraph"/>
    <w:basedOn w:val="a"/>
    <w:uiPriority w:val="34"/>
    <w:qFormat/>
    <w:rsid w:val="00505D9A"/>
    <w:pPr>
      <w:ind w:left="720"/>
      <w:contextualSpacing/>
    </w:pPr>
  </w:style>
  <w:style w:type="character" w:styleId="aa">
    <w:name w:val="Intense Emphasis"/>
    <w:basedOn w:val="a0"/>
    <w:uiPriority w:val="21"/>
    <w:qFormat/>
    <w:rsid w:val="00505D9A"/>
    <w:rPr>
      <w:i/>
      <w:iCs/>
      <w:color w:val="0F4761" w:themeColor="accent1" w:themeShade="BF"/>
    </w:rPr>
  </w:style>
  <w:style w:type="paragraph" w:styleId="ab">
    <w:name w:val="Intense Quote"/>
    <w:basedOn w:val="a"/>
    <w:next w:val="a"/>
    <w:link w:val="ac"/>
    <w:uiPriority w:val="30"/>
    <w:qFormat/>
    <w:rsid w:val="00505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05D9A"/>
    <w:rPr>
      <w:i/>
      <w:iCs/>
      <w:color w:val="0F4761" w:themeColor="accent1" w:themeShade="BF"/>
    </w:rPr>
  </w:style>
  <w:style w:type="character" w:styleId="ad">
    <w:name w:val="Intense Reference"/>
    <w:basedOn w:val="a0"/>
    <w:uiPriority w:val="32"/>
    <w:qFormat/>
    <w:rsid w:val="00505D9A"/>
    <w:rPr>
      <w:b/>
      <w:bCs/>
      <w:smallCaps/>
      <w:color w:val="0F4761" w:themeColor="accent1" w:themeShade="BF"/>
      <w:spacing w:val="5"/>
    </w:rPr>
  </w:style>
  <w:style w:type="paragraph" w:styleId="ae">
    <w:name w:val="header"/>
    <w:basedOn w:val="a"/>
    <w:link w:val="af"/>
    <w:uiPriority w:val="99"/>
    <w:unhideWhenUsed/>
    <w:rsid w:val="001A25C9"/>
    <w:pPr>
      <w:tabs>
        <w:tab w:val="center" w:pos="4153"/>
        <w:tab w:val="right" w:pos="8306"/>
      </w:tabs>
      <w:snapToGrid w:val="0"/>
      <w:jc w:val="center"/>
    </w:pPr>
    <w:rPr>
      <w:sz w:val="18"/>
      <w:szCs w:val="18"/>
    </w:rPr>
  </w:style>
  <w:style w:type="character" w:customStyle="1" w:styleId="af">
    <w:name w:val="页眉 字符"/>
    <w:basedOn w:val="a0"/>
    <w:link w:val="ae"/>
    <w:uiPriority w:val="99"/>
    <w:rsid w:val="001A25C9"/>
    <w:rPr>
      <w:sz w:val="18"/>
      <w:szCs w:val="18"/>
    </w:rPr>
  </w:style>
  <w:style w:type="paragraph" w:styleId="af0">
    <w:name w:val="footer"/>
    <w:basedOn w:val="a"/>
    <w:link w:val="af1"/>
    <w:uiPriority w:val="99"/>
    <w:unhideWhenUsed/>
    <w:rsid w:val="001A25C9"/>
    <w:pPr>
      <w:tabs>
        <w:tab w:val="center" w:pos="4153"/>
        <w:tab w:val="right" w:pos="8306"/>
      </w:tabs>
      <w:snapToGrid w:val="0"/>
      <w:jc w:val="left"/>
    </w:pPr>
    <w:rPr>
      <w:sz w:val="18"/>
      <w:szCs w:val="18"/>
    </w:rPr>
  </w:style>
  <w:style w:type="character" w:customStyle="1" w:styleId="af1">
    <w:name w:val="页脚 字符"/>
    <w:basedOn w:val="a0"/>
    <w:link w:val="af0"/>
    <w:uiPriority w:val="99"/>
    <w:rsid w:val="001A25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2026-02-10T03:44:00Z</dcterms:created>
  <dcterms:modified xsi:type="dcterms:W3CDTF">2026-02-10T03:44:00Z</dcterms:modified>
</cp:coreProperties>
</file>