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EB97" w14:textId="77777777" w:rsidR="00E6602D" w:rsidRPr="00284278" w:rsidRDefault="00E6602D" w:rsidP="00284278">
      <w:pPr>
        <w:jc w:val="left"/>
        <w:rPr>
          <w:rFonts w:ascii="Arial" w:hAnsi="Arial" w:cs="Arial"/>
        </w:rPr>
      </w:pPr>
      <w:r w:rsidRPr="00284278">
        <w:rPr>
          <w:rFonts w:ascii="Arial" w:hAnsi="Arial" w:cs="Arial"/>
          <w:b/>
          <w:bCs/>
        </w:rPr>
        <w:t>Y-Chromosome Quantitative PCR (qPCR) Detection Kit</w:t>
      </w:r>
    </w:p>
    <w:p w14:paraId="74A2B99F" w14:textId="77777777" w:rsidR="00E6602D" w:rsidRPr="00284278" w:rsidRDefault="00E6602D" w:rsidP="00284278">
      <w:pPr>
        <w:jc w:val="left"/>
        <w:rPr>
          <w:rFonts w:ascii="Arial" w:hAnsi="Arial" w:cs="Arial"/>
        </w:rPr>
      </w:pPr>
      <w:r w:rsidRPr="00284278">
        <w:rPr>
          <w:rFonts w:ascii="Arial" w:hAnsi="Arial" w:cs="Arial"/>
          <w:b/>
          <w:bCs/>
        </w:rPr>
        <w:t>Product Introduction</w:t>
      </w:r>
      <w:r w:rsidRPr="00284278">
        <w:rPr>
          <w:rFonts w:ascii="Arial" w:hAnsi="Arial" w:cs="Arial"/>
        </w:rPr>
        <w:br/>
        <w:t>This kit is based on </w:t>
      </w:r>
      <w:r w:rsidRPr="00284278">
        <w:rPr>
          <w:rFonts w:ascii="Arial" w:hAnsi="Arial" w:cs="Arial"/>
          <w:b/>
          <w:bCs/>
        </w:rPr>
        <w:t>TaqMan probe-based real-time fluorescence quantitative PCR technology</w:t>
      </w:r>
      <w:r w:rsidRPr="00284278">
        <w:rPr>
          <w:rFonts w:ascii="Arial" w:hAnsi="Arial" w:cs="Arial"/>
        </w:rPr>
        <w:t> and is specifically designed for the </w:t>
      </w:r>
      <w:r w:rsidRPr="00284278">
        <w:rPr>
          <w:rFonts w:ascii="Arial" w:hAnsi="Arial" w:cs="Arial"/>
          <w:b/>
          <w:bCs/>
        </w:rPr>
        <w:t>accurate and efficient quantitative detection of Y-chromosome DNA in samples</w:t>
      </w:r>
      <w:r w:rsidRPr="00284278">
        <w:rPr>
          <w:rFonts w:ascii="Arial" w:hAnsi="Arial" w:cs="Arial"/>
        </w:rPr>
        <w:t>. Primers and probes target conserved, Y-chromosome-specific regions, enabling sensitive and specific identification of male DNA while eliminating interference from female DNA or other non-specific signals. It is suitable for applications such as </w:t>
      </w:r>
      <w:r w:rsidRPr="00284278">
        <w:rPr>
          <w:rFonts w:ascii="Arial" w:hAnsi="Arial" w:cs="Arial"/>
          <w:b/>
          <w:bCs/>
        </w:rPr>
        <w:t>forensic identification and male-specific DNA quantitative analysis</w:t>
      </w:r>
      <w:r w:rsidRPr="00284278">
        <w:rPr>
          <w:rFonts w:ascii="Arial" w:hAnsi="Arial" w:cs="Arial"/>
        </w:rPr>
        <w:t>, particularly for detecting and quantifying trace amounts of male DNA in mixed samples.</w:t>
      </w:r>
    </w:p>
    <w:p w14:paraId="21B80AB1" w14:textId="77777777" w:rsidR="00E6602D" w:rsidRPr="00284278" w:rsidRDefault="00000000" w:rsidP="00284278">
      <w:pPr>
        <w:jc w:val="left"/>
        <w:rPr>
          <w:rFonts w:ascii="Arial" w:hAnsi="Arial" w:cs="Arial"/>
        </w:rPr>
      </w:pPr>
      <w:r w:rsidRPr="00284278">
        <w:rPr>
          <w:rFonts w:ascii="Arial" w:hAnsi="Arial" w:cs="Arial"/>
        </w:rPr>
        <w:pict w14:anchorId="38C7189B">
          <v:rect id="_x0000_i1025" style="width:0;height:.75pt" o:hrstd="t" o:hr="t" fillcolor="#a0a0a0" stroked="f"/>
        </w:pict>
      </w:r>
    </w:p>
    <w:p w14:paraId="2C7EDA94" w14:textId="77777777" w:rsidR="00E6602D" w:rsidRPr="00284278" w:rsidRDefault="00E6602D" w:rsidP="00284278">
      <w:pPr>
        <w:jc w:val="left"/>
        <w:rPr>
          <w:rFonts w:ascii="Arial" w:hAnsi="Arial" w:cs="Arial"/>
        </w:rPr>
      </w:pPr>
      <w:r w:rsidRPr="00284278">
        <w:rPr>
          <w:rFonts w:ascii="Arial" w:hAnsi="Arial" w:cs="Arial"/>
          <w:b/>
          <w:bCs/>
        </w:rPr>
        <w:t>Product Advantages</w:t>
      </w:r>
    </w:p>
    <w:p w14:paraId="19943509" w14:textId="77777777" w:rsidR="00E6602D" w:rsidRPr="00284278" w:rsidRDefault="00E6602D" w:rsidP="00284278">
      <w:pPr>
        <w:numPr>
          <w:ilvl w:val="0"/>
          <w:numId w:val="4"/>
        </w:numPr>
        <w:jc w:val="left"/>
        <w:rPr>
          <w:rFonts w:ascii="Arial" w:hAnsi="Arial" w:cs="Arial"/>
        </w:rPr>
      </w:pPr>
      <w:r w:rsidRPr="00284278">
        <w:rPr>
          <w:rFonts w:ascii="Arial" w:hAnsi="Arial" w:cs="Arial"/>
          <w:b/>
          <w:bCs/>
        </w:rPr>
        <w:t>High Sensitivity and Broad Linear Range</w:t>
      </w:r>
    </w:p>
    <w:p w14:paraId="65C368DE" w14:textId="77777777" w:rsidR="00E6602D" w:rsidRPr="00284278" w:rsidRDefault="00E6602D" w:rsidP="00284278">
      <w:pPr>
        <w:numPr>
          <w:ilvl w:val="1"/>
          <w:numId w:val="4"/>
        </w:numPr>
        <w:jc w:val="left"/>
        <w:rPr>
          <w:rFonts w:ascii="Arial" w:hAnsi="Arial" w:cs="Arial"/>
        </w:rPr>
      </w:pPr>
      <w:r w:rsidRPr="00284278">
        <w:rPr>
          <w:rFonts w:ascii="Arial" w:hAnsi="Arial" w:cs="Arial"/>
        </w:rPr>
        <w:t>Capable of detecting Y-chromosome DNA as low as </w:t>
      </w:r>
      <w:r w:rsidRPr="00284278">
        <w:rPr>
          <w:rFonts w:ascii="Arial" w:hAnsi="Arial" w:cs="Arial"/>
          <w:b/>
          <w:bCs/>
        </w:rPr>
        <w:t>single-copy levels</w:t>
      </w:r>
      <w:r w:rsidRPr="00284278">
        <w:rPr>
          <w:rFonts w:ascii="Arial" w:hAnsi="Arial" w:cs="Arial"/>
        </w:rPr>
        <w:t xml:space="preserve">, with a linear range spanning multiple orders of magnitude (e.g., 0.1–1000 </w:t>
      </w:r>
      <w:proofErr w:type="spellStart"/>
      <w:r w:rsidRPr="00284278">
        <w:rPr>
          <w:rFonts w:ascii="Arial" w:hAnsi="Arial" w:cs="Arial"/>
        </w:rPr>
        <w:t>pg</w:t>
      </w:r>
      <w:proofErr w:type="spellEnd"/>
      <w:r w:rsidRPr="00284278">
        <w:rPr>
          <w:rFonts w:ascii="Arial" w:hAnsi="Arial" w:cs="Arial"/>
        </w:rPr>
        <w:t>/</w:t>
      </w:r>
      <w:proofErr w:type="spellStart"/>
      <w:r w:rsidRPr="00284278">
        <w:rPr>
          <w:rFonts w:ascii="Arial" w:hAnsi="Arial" w:cs="Arial"/>
        </w:rPr>
        <w:t>μL</w:t>
      </w:r>
      <w:proofErr w:type="spellEnd"/>
      <w:r w:rsidRPr="00284278">
        <w:rPr>
          <w:rFonts w:ascii="Arial" w:hAnsi="Arial" w:cs="Arial"/>
        </w:rPr>
        <w:t>), meeting the demands of trace sample detection.</w:t>
      </w:r>
    </w:p>
    <w:p w14:paraId="149AFB3F" w14:textId="77777777" w:rsidR="00E6602D" w:rsidRPr="00284278" w:rsidRDefault="00E6602D" w:rsidP="00284278">
      <w:pPr>
        <w:numPr>
          <w:ilvl w:val="0"/>
          <w:numId w:val="4"/>
        </w:numPr>
        <w:jc w:val="left"/>
        <w:rPr>
          <w:rFonts w:ascii="Arial" w:hAnsi="Arial" w:cs="Arial"/>
        </w:rPr>
      </w:pPr>
      <w:r w:rsidRPr="00284278">
        <w:rPr>
          <w:rFonts w:ascii="Arial" w:hAnsi="Arial" w:cs="Arial"/>
          <w:b/>
          <w:bCs/>
        </w:rPr>
        <w:t>Excellent Specificity</w:t>
      </w:r>
    </w:p>
    <w:p w14:paraId="18A55743" w14:textId="77777777" w:rsidR="00E6602D" w:rsidRPr="00284278" w:rsidRDefault="00E6602D" w:rsidP="00284278">
      <w:pPr>
        <w:numPr>
          <w:ilvl w:val="1"/>
          <w:numId w:val="4"/>
        </w:numPr>
        <w:jc w:val="left"/>
        <w:rPr>
          <w:rFonts w:ascii="Arial" w:hAnsi="Arial" w:cs="Arial"/>
        </w:rPr>
      </w:pPr>
      <w:r w:rsidRPr="00284278">
        <w:rPr>
          <w:rFonts w:ascii="Arial" w:hAnsi="Arial" w:cs="Arial"/>
        </w:rPr>
        <w:t>Primers and probes are rigorously screened to target unique Y-chromosome sequences, avoiding cross-reactivity with autosomes or the X chromosome, ensuring accurate and reliable results.</w:t>
      </w:r>
    </w:p>
    <w:p w14:paraId="1A1161BC" w14:textId="77777777" w:rsidR="00E6602D" w:rsidRPr="00284278" w:rsidRDefault="00E6602D" w:rsidP="00284278">
      <w:pPr>
        <w:numPr>
          <w:ilvl w:val="0"/>
          <w:numId w:val="4"/>
        </w:numPr>
        <w:jc w:val="left"/>
        <w:rPr>
          <w:rFonts w:ascii="Arial" w:hAnsi="Arial" w:cs="Arial"/>
        </w:rPr>
      </w:pPr>
      <w:r w:rsidRPr="00284278">
        <w:rPr>
          <w:rFonts w:ascii="Arial" w:hAnsi="Arial" w:cs="Arial"/>
          <w:b/>
          <w:bCs/>
        </w:rPr>
        <w:t>Strong Anti-Interference Capability</w:t>
      </w:r>
    </w:p>
    <w:p w14:paraId="27DF2C36" w14:textId="77777777" w:rsidR="00E6602D" w:rsidRPr="00284278" w:rsidRDefault="00E6602D" w:rsidP="00284278">
      <w:pPr>
        <w:numPr>
          <w:ilvl w:val="1"/>
          <w:numId w:val="4"/>
        </w:numPr>
        <w:jc w:val="left"/>
        <w:rPr>
          <w:rFonts w:ascii="Arial" w:hAnsi="Arial" w:cs="Arial"/>
        </w:rPr>
      </w:pPr>
      <w:r w:rsidRPr="00284278">
        <w:rPr>
          <w:rFonts w:ascii="Arial" w:hAnsi="Arial" w:cs="Arial"/>
        </w:rPr>
        <w:t>The optimized reaction system tolerates common PCR inhibitors (e.g., heme, humic acid) and is suitable for direct testing of complex samples (e.g., bloodstains, saliva, environmental samples).</w:t>
      </w:r>
    </w:p>
    <w:p w14:paraId="37AFCEF6" w14:textId="77777777" w:rsidR="00E6602D" w:rsidRPr="00284278" w:rsidRDefault="00E6602D" w:rsidP="00284278">
      <w:pPr>
        <w:numPr>
          <w:ilvl w:val="0"/>
          <w:numId w:val="4"/>
        </w:numPr>
        <w:jc w:val="left"/>
        <w:rPr>
          <w:rFonts w:ascii="Arial" w:hAnsi="Arial" w:cs="Arial"/>
        </w:rPr>
      </w:pPr>
      <w:r w:rsidRPr="00284278">
        <w:rPr>
          <w:rFonts w:ascii="Arial" w:hAnsi="Arial" w:cs="Arial"/>
          <w:b/>
          <w:bCs/>
        </w:rPr>
        <w:t>Rapid, Efficient, and User-Friendly</w:t>
      </w:r>
    </w:p>
    <w:p w14:paraId="6EA387CF" w14:textId="77777777" w:rsidR="00E6602D" w:rsidRPr="00284278" w:rsidRDefault="00E6602D" w:rsidP="00284278">
      <w:pPr>
        <w:numPr>
          <w:ilvl w:val="1"/>
          <w:numId w:val="4"/>
        </w:numPr>
        <w:jc w:val="left"/>
        <w:rPr>
          <w:rFonts w:ascii="Arial" w:hAnsi="Arial" w:cs="Arial"/>
        </w:rPr>
      </w:pPr>
      <w:r w:rsidRPr="00284278">
        <w:rPr>
          <w:rFonts w:ascii="Arial" w:hAnsi="Arial" w:cs="Arial"/>
        </w:rPr>
        <w:t>Provided as premixed lyophilized or ready-to-use liquid reagents, minimizing handling steps. The entire process can be completed within </w:t>
      </w:r>
      <w:r w:rsidRPr="00284278">
        <w:rPr>
          <w:rFonts w:ascii="Arial" w:hAnsi="Arial" w:cs="Arial"/>
          <w:b/>
          <w:bCs/>
        </w:rPr>
        <w:t>1.5 hours</w:t>
      </w:r>
      <w:r w:rsidRPr="00284278">
        <w:rPr>
          <w:rFonts w:ascii="Arial" w:hAnsi="Arial" w:cs="Arial"/>
        </w:rPr>
        <w:t> and is compatible with mainstream real-time PCR instruments.</w:t>
      </w:r>
    </w:p>
    <w:p w14:paraId="129E053E" w14:textId="77777777" w:rsidR="00E6602D" w:rsidRPr="00284278" w:rsidRDefault="00E6602D" w:rsidP="00284278">
      <w:pPr>
        <w:numPr>
          <w:ilvl w:val="0"/>
          <w:numId w:val="4"/>
        </w:numPr>
        <w:jc w:val="left"/>
        <w:rPr>
          <w:rFonts w:ascii="Arial" w:hAnsi="Arial" w:cs="Arial"/>
        </w:rPr>
      </w:pPr>
      <w:r w:rsidRPr="00284278">
        <w:rPr>
          <w:rFonts w:ascii="Arial" w:hAnsi="Arial" w:cs="Arial"/>
          <w:b/>
          <w:bCs/>
        </w:rPr>
        <w:t>Supports Multiplex Detection and Automated Analysis</w:t>
      </w:r>
    </w:p>
    <w:p w14:paraId="533BC482" w14:textId="77777777" w:rsidR="00E6602D" w:rsidRPr="00284278" w:rsidRDefault="00E6602D" w:rsidP="00284278">
      <w:pPr>
        <w:numPr>
          <w:ilvl w:val="1"/>
          <w:numId w:val="4"/>
        </w:numPr>
        <w:jc w:val="left"/>
        <w:rPr>
          <w:rFonts w:ascii="Arial" w:hAnsi="Arial" w:cs="Arial"/>
        </w:rPr>
      </w:pPr>
      <w:r w:rsidRPr="00284278">
        <w:rPr>
          <w:rFonts w:ascii="Arial" w:hAnsi="Arial" w:cs="Arial"/>
        </w:rPr>
        <w:t>Can be flexibly combined with autosomal quantification and internal control detection in multiplex assays. Includes dedicated analysis software for automatic calculation of DNA concentration and degradation index, enabling fully standardized workflows.</w:t>
      </w:r>
    </w:p>
    <w:p w14:paraId="36EE96C7" w14:textId="77777777" w:rsidR="00E6602D" w:rsidRPr="00284278" w:rsidRDefault="00E6602D" w:rsidP="00284278">
      <w:pPr>
        <w:numPr>
          <w:ilvl w:val="0"/>
          <w:numId w:val="4"/>
        </w:numPr>
        <w:jc w:val="left"/>
        <w:rPr>
          <w:rFonts w:ascii="Arial" w:hAnsi="Arial" w:cs="Arial"/>
        </w:rPr>
      </w:pPr>
      <w:r w:rsidRPr="00284278">
        <w:rPr>
          <w:rFonts w:ascii="Arial" w:hAnsi="Arial" w:cs="Arial"/>
          <w:b/>
          <w:bCs/>
        </w:rPr>
        <w:t>Stringent Quality Control</w:t>
      </w:r>
    </w:p>
    <w:p w14:paraId="7A1B2B2E" w14:textId="77777777" w:rsidR="00E6602D" w:rsidRPr="00284278" w:rsidRDefault="00E6602D" w:rsidP="00284278">
      <w:pPr>
        <w:numPr>
          <w:ilvl w:val="1"/>
          <w:numId w:val="4"/>
        </w:numPr>
        <w:jc w:val="left"/>
        <w:rPr>
          <w:rFonts w:ascii="Arial" w:hAnsi="Arial" w:cs="Arial"/>
        </w:rPr>
      </w:pPr>
      <w:r w:rsidRPr="00284278">
        <w:rPr>
          <w:rFonts w:ascii="Arial" w:hAnsi="Arial" w:cs="Arial"/>
        </w:rPr>
        <w:t>The kit includes </w:t>
      </w:r>
      <w:r w:rsidRPr="00284278">
        <w:rPr>
          <w:rFonts w:ascii="Arial" w:hAnsi="Arial" w:cs="Arial"/>
          <w:b/>
          <w:bCs/>
        </w:rPr>
        <w:t>internal reference controls (IC)</w:t>
      </w:r>
      <w:r w:rsidRPr="00284278">
        <w:rPr>
          <w:rFonts w:ascii="Arial" w:hAnsi="Arial" w:cs="Arial"/>
        </w:rPr>
        <w:t> and positive/negative controls to monitor PCR inhibition and contamination risks throughout the process, ensuring experimental reproducibility.</w:t>
      </w:r>
    </w:p>
    <w:p w14:paraId="7F546A36" w14:textId="77777777" w:rsidR="00E6602D" w:rsidRPr="00284278" w:rsidRDefault="00000000" w:rsidP="00284278">
      <w:pPr>
        <w:jc w:val="left"/>
        <w:rPr>
          <w:rFonts w:ascii="Arial" w:hAnsi="Arial" w:cs="Arial"/>
        </w:rPr>
      </w:pPr>
      <w:r w:rsidRPr="00284278">
        <w:rPr>
          <w:rFonts w:ascii="Arial" w:hAnsi="Arial" w:cs="Arial"/>
        </w:rPr>
        <w:pict w14:anchorId="4907CD59">
          <v:rect id="_x0000_i1026" style="width:0;height:.75pt" o:hrstd="t" o:hr="t" fillcolor="#a0a0a0" stroked="f"/>
        </w:pict>
      </w:r>
    </w:p>
    <w:p w14:paraId="647B8609" w14:textId="77777777" w:rsidR="00E6602D" w:rsidRPr="00284278" w:rsidRDefault="00E6602D" w:rsidP="00284278">
      <w:pPr>
        <w:jc w:val="left"/>
        <w:rPr>
          <w:rFonts w:ascii="Arial" w:hAnsi="Arial" w:cs="Arial"/>
        </w:rPr>
      </w:pPr>
      <w:r w:rsidRPr="00284278">
        <w:rPr>
          <w:rFonts w:ascii="Arial" w:hAnsi="Arial" w:cs="Arial"/>
          <w:b/>
          <w:bCs/>
        </w:rPr>
        <w:t>Application Scenarios</w:t>
      </w:r>
    </w:p>
    <w:p w14:paraId="71D2012D" w14:textId="77777777" w:rsidR="00E6602D" w:rsidRPr="00284278" w:rsidRDefault="00E6602D" w:rsidP="00284278">
      <w:pPr>
        <w:numPr>
          <w:ilvl w:val="0"/>
          <w:numId w:val="5"/>
        </w:numPr>
        <w:jc w:val="left"/>
        <w:rPr>
          <w:rFonts w:ascii="Arial" w:hAnsi="Arial" w:cs="Arial"/>
        </w:rPr>
      </w:pPr>
      <w:r w:rsidRPr="00284278">
        <w:rPr>
          <w:rFonts w:ascii="Arial" w:hAnsi="Arial" w:cs="Arial"/>
          <w:b/>
          <w:bCs/>
        </w:rPr>
        <w:t>Forensic Mixed Sample Analysis</w:t>
      </w:r>
      <w:r w:rsidRPr="00284278">
        <w:rPr>
          <w:rFonts w:ascii="Arial" w:hAnsi="Arial" w:cs="Arial"/>
        </w:rPr>
        <w:t>: Quantifies the proportion of male DNA to aid in sample source determination.</w:t>
      </w:r>
    </w:p>
    <w:p w14:paraId="2084097F" w14:textId="77777777" w:rsidR="00E6602D" w:rsidRPr="00284278" w:rsidRDefault="00E6602D" w:rsidP="00284278">
      <w:pPr>
        <w:numPr>
          <w:ilvl w:val="0"/>
          <w:numId w:val="5"/>
        </w:numPr>
        <w:jc w:val="left"/>
        <w:rPr>
          <w:rFonts w:ascii="Arial" w:hAnsi="Arial" w:cs="Arial"/>
        </w:rPr>
      </w:pPr>
      <w:r w:rsidRPr="00284278">
        <w:rPr>
          <w:rFonts w:ascii="Arial" w:hAnsi="Arial" w:cs="Arial"/>
          <w:b/>
          <w:bCs/>
        </w:rPr>
        <w:t>Quality Control</w:t>
      </w:r>
      <w:r w:rsidRPr="00284278">
        <w:rPr>
          <w:rFonts w:ascii="Arial" w:hAnsi="Arial" w:cs="Arial"/>
        </w:rPr>
        <w:t>: Monitors DNA extraction efficiency and the integrity of male samples.</w:t>
      </w:r>
    </w:p>
    <w:p w14:paraId="046D0137" w14:textId="77777777" w:rsidR="00E6602D" w:rsidRPr="00284278" w:rsidRDefault="00000000" w:rsidP="00284278">
      <w:pPr>
        <w:jc w:val="left"/>
        <w:rPr>
          <w:rFonts w:ascii="Arial" w:hAnsi="Arial" w:cs="Arial"/>
        </w:rPr>
      </w:pPr>
      <w:r w:rsidRPr="00284278">
        <w:rPr>
          <w:rFonts w:ascii="Arial" w:hAnsi="Arial" w:cs="Arial"/>
        </w:rPr>
        <w:pict w14:anchorId="4B5D9D68">
          <v:rect id="_x0000_i1027" style="width:0;height:.75pt" o:hrstd="t" o:hr="t" fillcolor="#a0a0a0" stroked="f"/>
        </w:pict>
      </w:r>
    </w:p>
    <w:p w14:paraId="64D457AC" w14:textId="77777777" w:rsidR="00E6602D" w:rsidRPr="00284278" w:rsidRDefault="00E6602D" w:rsidP="00284278">
      <w:pPr>
        <w:jc w:val="left"/>
        <w:rPr>
          <w:rFonts w:ascii="Arial" w:hAnsi="Arial" w:cs="Arial"/>
        </w:rPr>
      </w:pPr>
      <w:r w:rsidRPr="00284278">
        <w:rPr>
          <w:rFonts w:ascii="Arial" w:hAnsi="Arial" w:cs="Arial"/>
          <w:b/>
          <w:bCs/>
        </w:rPr>
        <w:lastRenderedPageBreak/>
        <w:t>Example Technical Parameters</w:t>
      </w:r>
    </w:p>
    <w:p w14:paraId="41344045" w14:textId="77777777" w:rsidR="00E6602D" w:rsidRPr="00284278" w:rsidRDefault="00E6602D" w:rsidP="00284278">
      <w:pPr>
        <w:numPr>
          <w:ilvl w:val="0"/>
          <w:numId w:val="6"/>
        </w:numPr>
        <w:jc w:val="left"/>
        <w:rPr>
          <w:rFonts w:ascii="Arial" w:hAnsi="Arial" w:cs="Arial"/>
        </w:rPr>
      </w:pPr>
      <w:r w:rsidRPr="00284278">
        <w:rPr>
          <w:rFonts w:ascii="Arial" w:hAnsi="Arial" w:cs="Arial"/>
          <w:b/>
          <w:bCs/>
        </w:rPr>
        <w:t>Detection Target</w:t>
      </w:r>
      <w:r w:rsidRPr="00284278">
        <w:rPr>
          <w:rFonts w:ascii="Arial" w:hAnsi="Arial" w:cs="Arial"/>
        </w:rPr>
        <w:t>: Y-chromosome-specific short fragments (e.g., SRY, TSPY gene regions)</w:t>
      </w:r>
    </w:p>
    <w:p w14:paraId="0C92684B" w14:textId="77777777" w:rsidR="00E6602D" w:rsidRPr="00284278" w:rsidRDefault="00E6602D" w:rsidP="00284278">
      <w:pPr>
        <w:numPr>
          <w:ilvl w:val="0"/>
          <w:numId w:val="6"/>
        </w:numPr>
        <w:jc w:val="left"/>
        <w:rPr>
          <w:rFonts w:ascii="Arial" w:hAnsi="Arial" w:cs="Arial"/>
        </w:rPr>
      </w:pPr>
      <w:r w:rsidRPr="00284278">
        <w:rPr>
          <w:rFonts w:ascii="Arial" w:hAnsi="Arial" w:cs="Arial"/>
          <w:b/>
          <w:bCs/>
        </w:rPr>
        <w:t>Fluorescence Channels</w:t>
      </w:r>
      <w:r w:rsidRPr="00284278">
        <w:rPr>
          <w:rFonts w:ascii="Arial" w:hAnsi="Arial" w:cs="Arial"/>
        </w:rPr>
        <w:t>: Compatible with multi-channel instruments</w:t>
      </w:r>
    </w:p>
    <w:p w14:paraId="67B7B4D3" w14:textId="77777777" w:rsidR="00E6602D" w:rsidRPr="00284278" w:rsidRDefault="00E6602D" w:rsidP="00284278">
      <w:pPr>
        <w:numPr>
          <w:ilvl w:val="0"/>
          <w:numId w:val="6"/>
        </w:numPr>
        <w:jc w:val="left"/>
        <w:rPr>
          <w:rFonts w:ascii="Arial" w:hAnsi="Arial" w:cs="Arial"/>
        </w:rPr>
      </w:pPr>
      <w:r w:rsidRPr="00284278">
        <w:rPr>
          <w:rFonts w:ascii="Arial" w:hAnsi="Arial" w:cs="Arial"/>
          <w:b/>
          <w:bCs/>
        </w:rPr>
        <w:t>Sample Types</w:t>
      </w:r>
      <w:r w:rsidRPr="00284278">
        <w:rPr>
          <w:rFonts w:ascii="Arial" w:hAnsi="Arial" w:cs="Arial"/>
        </w:rPr>
        <w:t>: Blood, saliva, tissue, FFPE samples, environmental DNA, etc.</w:t>
      </w:r>
    </w:p>
    <w:p w14:paraId="0DA0E99B" w14:textId="77777777" w:rsidR="00E6602D" w:rsidRPr="00284278" w:rsidRDefault="00E6602D" w:rsidP="00284278">
      <w:pPr>
        <w:numPr>
          <w:ilvl w:val="0"/>
          <w:numId w:val="6"/>
        </w:numPr>
        <w:jc w:val="left"/>
        <w:rPr>
          <w:rFonts w:ascii="Arial" w:hAnsi="Arial" w:cs="Arial"/>
        </w:rPr>
      </w:pPr>
      <w:r w:rsidRPr="00284278">
        <w:rPr>
          <w:rFonts w:ascii="Arial" w:hAnsi="Arial" w:cs="Arial"/>
          <w:b/>
          <w:bCs/>
        </w:rPr>
        <w:t>Storage Conditions</w:t>
      </w:r>
      <w:r w:rsidRPr="00284278">
        <w:rPr>
          <w:rFonts w:ascii="Arial" w:hAnsi="Arial" w:cs="Arial"/>
        </w:rPr>
        <w:t>: Store at -20°C protected from light; shelf life of 24 months</w:t>
      </w:r>
    </w:p>
    <w:p w14:paraId="712EA8D0" w14:textId="77777777" w:rsidR="00E6602D" w:rsidRPr="00284278" w:rsidRDefault="00000000" w:rsidP="00284278">
      <w:pPr>
        <w:jc w:val="left"/>
        <w:rPr>
          <w:rFonts w:ascii="Arial" w:hAnsi="Arial" w:cs="Arial"/>
        </w:rPr>
      </w:pPr>
      <w:r w:rsidRPr="00284278">
        <w:rPr>
          <w:rFonts w:ascii="Arial" w:hAnsi="Arial" w:cs="Arial"/>
        </w:rPr>
        <w:pict w14:anchorId="616C82F5">
          <v:rect id="_x0000_i1028" style="width:0;height:.75pt" o:hrstd="t" o:hr="t" fillcolor="#a0a0a0" stroked="f"/>
        </w:pict>
      </w:r>
    </w:p>
    <w:p w14:paraId="260F14AC" w14:textId="77777777" w:rsidR="00E6602D" w:rsidRPr="00284278" w:rsidRDefault="00E6602D" w:rsidP="00284278">
      <w:pPr>
        <w:jc w:val="left"/>
        <w:rPr>
          <w:rFonts w:ascii="Arial" w:hAnsi="Arial" w:cs="Arial"/>
        </w:rPr>
      </w:pPr>
      <w:r w:rsidRPr="00284278">
        <w:rPr>
          <w:rFonts w:ascii="Arial" w:hAnsi="Arial" w:cs="Arial"/>
          <w:b/>
          <w:bCs/>
        </w:rPr>
        <w:t>Friendly Reminder</w:t>
      </w:r>
      <w:r w:rsidRPr="00284278">
        <w:rPr>
          <w:rFonts w:ascii="Arial" w:hAnsi="Arial" w:cs="Arial"/>
        </w:rPr>
        <w:br/>
      </w:r>
      <w:r w:rsidRPr="00284278">
        <w:rPr>
          <w:rFonts w:ascii="Arial" w:hAnsi="Arial" w:cs="Arial"/>
          <w:i/>
          <w:iCs/>
        </w:rPr>
        <w:t>This product is for research use only and is not intended for clinical diagnosis. Users are advised to optimize reaction conditions according to experimental needs and adhere to laboratory quality control protocols.</w:t>
      </w:r>
    </w:p>
    <w:p w14:paraId="2B98CD8C" w14:textId="77777777" w:rsidR="00E6602D" w:rsidRPr="00284278" w:rsidRDefault="00E6602D" w:rsidP="00284278">
      <w:pPr>
        <w:jc w:val="left"/>
        <w:rPr>
          <w:rFonts w:ascii="Arial" w:hAnsi="Arial" w:cs="Arial"/>
        </w:rPr>
      </w:pPr>
      <w:r w:rsidRPr="00284278">
        <w:rPr>
          <w:rFonts w:ascii="Arial" w:hAnsi="Arial" w:cs="Arial"/>
        </w:rPr>
        <w:t>If further optimization is required (e.g., detailed experimental procedures, primer sequence information, or references), please feel free to let us know!</w:t>
      </w:r>
    </w:p>
    <w:p w14:paraId="2ACDF2BE" w14:textId="77777777" w:rsidR="001F5B3A" w:rsidRPr="00284278" w:rsidRDefault="001F5B3A" w:rsidP="00284278">
      <w:pPr>
        <w:jc w:val="left"/>
        <w:rPr>
          <w:rFonts w:ascii="Arial" w:hAnsi="Arial" w:cs="Arial"/>
        </w:rPr>
      </w:pPr>
    </w:p>
    <w:sectPr w:rsidR="001F5B3A" w:rsidRPr="002842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65E3" w14:textId="77777777" w:rsidR="00685179" w:rsidRDefault="00685179" w:rsidP="00954123">
      <w:r>
        <w:separator/>
      </w:r>
    </w:p>
  </w:endnote>
  <w:endnote w:type="continuationSeparator" w:id="0">
    <w:p w14:paraId="61AF73EA" w14:textId="77777777" w:rsidR="00685179" w:rsidRDefault="00685179" w:rsidP="00954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C9847" w14:textId="77777777" w:rsidR="00685179" w:rsidRDefault="00685179" w:rsidP="00954123">
      <w:r>
        <w:separator/>
      </w:r>
    </w:p>
  </w:footnote>
  <w:footnote w:type="continuationSeparator" w:id="0">
    <w:p w14:paraId="73BCFAAF" w14:textId="77777777" w:rsidR="00685179" w:rsidRDefault="00685179" w:rsidP="00954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94376"/>
    <w:multiLevelType w:val="multilevel"/>
    <w:tmpl w:val="96B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C413C"/>
    <w:multiLevelType w:val="multilevel"/>
    <w:tmpl w:val="9B4644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1E4D86"/>
    <w:multiLevelType w:val="multilevel"/>
    <w:tmpl w:val="9F6ED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A170BC"/>
    <w:multiLevelType w:val="multilevel"/>
    <w:tmpl w:val="5CD6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B326B"/>
    <w:multiLevelType w:val="multilevel"/>
    <w:tmpl w:val="FBC2D7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2F6273"/>
    <w:multiLevelType w:val="multilevel"/>
    <w:tmpl w:val="21C87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167673">
    <w:abstractNumId w:val="1"/>
  </w:num>
  <w:num w:numId="2" w16cid:durableId="708801004">
    <w:abstractNumId w:val="0"/>
  </w:num>
  <w:num w:numId="3" w16cid:durableId="1981570923">
    <w:abstractNumId w:val="2"/>
  </w:num>
  <w:num w:numId="4" w16cid:durableId="2126650174">
    <w:abstractNumId w:val="4"/>
  </w:num>
  <w:num w:numId="5" w16cid:durableId="2037730887">
    <w:abstractNumId w:val="5"/>
  </w:num>
  <w:num w:numId="6" w16cid:durableId="2668897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DD3"/>
    <w:rsid w:val="001F03DA"/>
    <w:rsid w:val="001F5B3A"/>
    <w:rsid w:val="00284278"/>
    <w:rsid w:val="00685179"/>
    <w:rsid w:val="00750A77"/>
    <w:rsid w:val="00954123"/>
    <w:rsid w:val="00A772EA"/>
    <w:rsid w:val="00E54DD3"/>
    <w:rsid w:val="00E6602D"/>
    <w:rsid w:val="00FC4E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BAF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54D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54D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54D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54D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54DD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54DD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54DD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4DD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54DD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4D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54D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54D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54DD3"/>
    <w:rPr>
      <w:rFonts w:cstheme="majorBidi"/>
      <w:color w:val="0F4761" w:themeColor="accent1" w:themeShade="BF"/>
      <w:sz w:val="28"/>
      <w:szCs w:val="28"/>
    </w:rPr>
  </w:style>
  <w:style w:type="character" w:customStyle="1" w:styleId="50">
    <w:name w:val="标题 5 字符"/>
    <w:basedOn w:val="a0"/>
    <w:link w:val="5"/>
    <w:uiPriority w:val="9"/>
    <w:semiHidden/>
    <w:rsid w:val="00E54DD3"/>
    <w:rPr>
      <w:rFonts w:cstheme="majorBidi"/>
      <w:color w:val="0F4761" w:themeColor="accent1" w:themeShade="BF"/>
      <w:sz w:val="24"/>
      <w:szCs w:val="24"/>
    </w:rPr>
  </w:style>
  <w:style w:type="character" w:customStyle="1" w:styleId="60">
    <w:name w:val="标题 6 字符"/>
    <w:basedOn w:val="a0"/>
    <w:link w:val="6"/>
    <w:uiPriority w:val="9"/>
    <w:semiHidden/>
    <w:rsid w:val="00E54DD3"/>
    <w:rPr>
      <w:rFonts w:cstheme="majorBidi"/>
      <w:b/>
      <w:bCs/>
      <w:color w:val="0F4761" w:themeColor="accent1" w:themeShade="BF"/>
    </w:rPr>
  </w:style>
  <w:style w:type="character" w:customStyle="1" w:styleId="70">
    <w:name w:val="标题 7 字符"/>
    <w:basedOn w:val="a0"/>
    <w:link w:val="7"/>
    <w:uiPriority w:val="9"/>
    <w:semiHidden/>
    <w:rsid w:val="00E54DD3"/>
    <w:rPr>
      <w:rFonts w:cstheme="majorBidi"/>
      <w:b/>
      <w:bCs/>
      <w:color w:val="595959" w:themeColor="text1" w:themeTint="A6"/>
    </w:rPr>
  </w:style>
  <w:style w:type="character" w:customStyle="1" w:styleId="80">
    <w:name w:val="标题 8 字符"/>
    <w:basedOn w:val="a0"/>
    <w:link w:val="8"/>
    <w:uiPriority w:val="9"/>
    <w:semiHidden/>
    <w:rsid w:val="00E54DD3"/>
    <w:rPr>
      <w:rFonts w:cstheme="majorBidi"/>
      <w:color w:val="595959" w:themeColor="text1" w:themeTint="A6"/>
    </w:rPr>
  </w:style>
  <w:style w:type="character" w:customStyle="1" w:styleId="90">
    <w:name w:val="标题 9 字符"/>
    <w:basedOn w:val="a0"/>
    <w:link w:val="9"/>
    <w:uiPriority w:val="9"/>
    <w:semiHidden/>
    <w:rsid w:val="00E54DD3"/>
    <w:rPr>
      <w:rFonts w:eastAsiaTheme="majorEastAsia" w:cstheme="majorBidi"/>
      <w:color w:val="595959" w:themeColor="text1" w:themeTint="A6"/>
    </w:rPr>
  </w:style>
  <w:style w:type="paragraph" w:styleId="a3">
    <w:name w:val="Title"/>
    <w:basedOn w:val="a"/>
    <w:next w:val="a"/>
    <w:link w:val="a4"/>
    <w:uiPriority w:val="10"/>
    <w:qFormat/>
    <w:rsid w:val="00E54DD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4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4D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4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4DD3"/>
    <w:pPr>
      <w:spacing w:before="160" w:after="160"/>
      <w:jc w:val="center"/>
    </w:pPr>
    <w:rPr>
      <w:i/>
      <w:iCs/>
      <w:color w:val="404040" w:themeColor="text1" w:themeTint="BF"/>
    </w:rPr>
  </w:style>
  <w:style w:type="character" w:customStyle="1" w:styleId="a8">
    <w:name w:val="引用 字符"/>
    <w:basedOn w:val="a0"/>
    <w:link w:val="a7"/>
    <w:uiPriority w:val="29"/>
    <w:rsid w:val="00E54DD3"/>
    <w:rPr>
      <w:i/>
      <w:iCs/>
      <w:color w:val="404040" w:themeColor="text1" w:themeTint="BF"/>
    </w:rPr>
  </w:style>
  <w:style w:type="paragraph" w:styleId="a9">
    <w:name w:val="List Paragraph"/>
    <w:basedOn w:val="a"/>
    <w:uiPriority w:val="34"/>
    <w:qFormat/>
    <w:rsid w:val="00E54DD3"/>
    <w:pPr>
      <w:ind w:left="720"/>
      <w:contextualSpacing/>
    </w:pPr>
  </w:style>
  <w:style w:type="character" w:styleId="aa">
    <w:name w:val="Intense Emphasis"/>
    <w:basedOn w:val="a0"/>
    <w:uiPriority w:val="21"/>
    <w:qFormat/>
    <w:rsid w:val="00E54DD3"/>
    <w:rPr>
      <w:i/>
      <w:iCs/>
      <w:color w:val="0F4761" w:themeColor="accent1" w:themeShade="BF"/>
    </w:rPr>
  </w:style>
  <w:style w:type="paragraph" w:styleId="ab">
    <w:name w:val="Intense Quote"/>
    <w:basedOn w:val="a"/>
    <w:next w:val="a"/>
    <w:link w:val="ac"/>
    <w:uiPriority w:val="30"/>
    <w:qFormat/>
    <w:rsid w:val="00E54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54DD3"/>
    <w:rPr>
      <w:i/>
      <w:iCs/>
      <w:color w:val="0F4761" w:themeColor="accent1" w:themeShade="BF"/>
    </w:rPr>
  </w:style>
  <w:style w:type="character" w:styleId="ad">
    <w:name w:val="Intense Reference"/>
    <w:basedOn w:val="a0"/>
    <w:uiPriority w:val="32"/>
    <w:qFormat/>
    <w:rsid w:val="00E54DD3"/>
    <w:rPr>
      <w:b/>
      <w:bCs/>
      <w:smallCaps/>
      <w:color w:val="0F4761" w:themeColor="accent1" w:themeShade="BF"/>
      <w:spacing w:val="5"/>
    </w:rPr>
  </w:style>
  <w:style w:type="paragraph" w:styleId="ae">
    <w:name w:val="header"/>
    <w:basedOn w:val="a"/>
    <w:link w:val="af"/>
    <w:uiPriority w:val="99"/>
    <w:unhideWhenUsed/>
    <w:rsid w:val="00954123"/>
    <w:pPr>
      <w:tabs>
        <w:tab w:val="center" w:pos="4153"/>
        <w:tab w:val="right" w:pos="8306"/>
      </w:tabs>
      <w:snapToGrid w:val="0"/>
      <w:jc w:val="center"/>
    </w:pPr>
    <w:rPr>
      <w:sz w:val="18"/>
      <w:szCs w:val="18"/>
    </w:rPr>
  </w:style>
  <w:style w:type="character" w:customStyle="1" w:styleId="af">
    <w:name w:val="页眉 字符"/>
    <w:basedOn w:val="a0"/>
    <w:link w:val="ae"/>
    <w:uiPriority w:val="99"/>
    <w:rsid w:val="00954123"/>
    <w:rPr>
      <w:sz w:val="18"/>
      <w:szCs w:val="18"/>
    </w:rPr>
  </w:style>
  <w:style w:type="paragraph" w:styleId="af0">
    <w:name w:val="footer"/>
    <w:basedOn w:val="a"/>
    <w:link w:val="af1"/>
    <w:uiPriority w:val="99"/>
    <w:unhideWhenUsed/>
    <w:rsid w:val="00954123"/>
    <w:pPr>
      <w:tabs>
        <w:tab w:val="center" w:pos="4153"/>
        <w:tab w:val="right" w:pos="8306"/>
      </w:tabs>
      <w:snapToGrid w:val="0"/>
      <w:jc w:val="left"/>
    </w:pPr>
    <w:rPr>
      <w:sz w:val="18"/>
      <w:szCs w:val="18"/>
    </w:rPr>
  </w:style>
  <w:style w:type="character" w:customStyle="1" w:styleId="af1">
    <w:name w:val="页脚 字符"/>
    <w:basedOn w:val="a0"/>
    <w:link w:val="af0"/>
    <w:uiPriority w:val="99"/>
    <w:rsid w:val="009541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2026-02-28T07:31:00Z</dcterms:created>
  <dcterms:modified xsi:type="dcterms:W3CDTF">2026-02-28T07:31:00Z</dcterms:modified>
</cp:coreProperties>
</file>